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jc w:val="center"/>
        <w:tblCellSpacing w:w="0" w:type="dxa"/>
        <w:tblCellMar>
          <w:left w:w="0" w:type="dxa"/>
          <w:right w:w="0" w:type="dxa"/>
        </w:tblCellMar>
        <w:tblLook w:val="04A0" w:firstRow="1" w:lastRow="0" w:firstColumn="1" w:lastColumn="0" w:noHBand="0" w:noVBand="1"/>
      </w:tblPr>
      <w:tblGrid>
        <w:gridCol w:w="9780"/>
      </w:tblGrid>
      <w:tr w:rsidR="004351C9" w:rsidTr="004351C9">
        <w:trPr>
          <w:trHeight w:val="480"/>
          <w:tblCellSpacing w:w="0" w:type="dxa"/>
          <w:jc w:val="center"/>
        </w:trPr>
        <w:tc>
          <w:tcPr>
            <w:tcW w:w="4410" w:type="dxa"/>
            <w:shd w:val="clear" w:color="auto" w:fill="FFFFFF"/>
            <w:vAlign w:val="center"/>
            <w:hideMark/>
          </w:tcPr>
          <w:p w:rsidR="004351C9" w:rsidRDefault="004351C9">
            <w:pPr>
              <w:rPr>
                <w:rFonts w:eastAsia="Times New Roman"/>
              </w:rPr>
            </w:pPr>
            <w:r>
              <w:rPr>
                <w:rFonts w:eastAsia="Times New Roman"/>
              </w:rPr>
              <w:fldChar w:fldCharType="begin"/>
            </w:r>
            <w:r>
              <w:rPr>
                <w:rFonts w:eastAsia="Times New Roman"/>
              </w:rPr>
              <w:instrText xml:space="preserve"> HYPERLINK "http://vara.dmd.omroep.nl/x/c/?HY1BDsIgEAC.4skjhbItjYZ4M.7BmIawtDRZpKFI9PUVPc1hJhmrhdyDboFXJi37CtLAuRx2r33O66lpSopudiXOjjZWTDLsSc015sigbxlnPge6HE1Yz.k9.nwpsyFy6TOui7i.FnzUQ99x9Y.szWxeczA4gUCcBhQcWgVSWXTYgQRp1bCjzkt2dJjq6AsA08" \t "_blank" </w:instrText>
            </w:r>
            <w:r>
              <w:rPr>
                <w:rFonts w:eastAsia="Times New Roman"/>
              </w:rPr>
              <w:fldChar w:fldCharType="separate"/>
            </w:r>
            <w:r>
              <w:rPr>
                <w:rStyle w:val="Hyperlink"/>
                <w:rFonts w:ascii="Arial" w:hAnsi="Arial"/>
                <w:b/>
                <w:bCs/>
                <w:color w:val="FE751B"/>
                <w:sz w:val="32"/>
                <w:szCs w:val="32"/>
              </w:rPr>
              <w:t>Ogen van de spin</w:t>
            </w:r>
            <w:r>
              <w:rPr>
                <w:rFonts w:eastAsia="Times New Roman"/>
              </w:rPr>
              <w:fldChar w:fldCharType="end"/>
            </w:r>
          </w:p>
        </w:tc>
      </w:tr>
      <w:tr w:rsidR="004351C9" w:rsidTr="004351C9">
        <w:trPr>
          <w:trHeight w:val="1665"/>
          <w:tblCellSpacing w:w="0" w:type="dxa"/>
          <w:jc w:val="center"/>
        </w:trPr>
        <w:tc>
          <w:tcPr>
            <w:tcW w:w="4410" w:type="dxa"/>
            <w:shd w:val="clear" w:color="auto" w:fill="FFFFFF"/>
            <w:hideMark/>
          </w:tcPr>
          <w:p w:rsidR="004351C9" w:rsidRDefault="004351C9">
            <w:pPr>
              <w:rPr>
                <w:rFonts w:eastAsia="Times New Roman"/>
              </w:rPr>
            </w:pPr>
            <w:r>
              <w:rPr>
                <w:rFonts w:ascii="Arial" w:eastAsia="Times New Roman" w:hAnsi="Arial" w:cs="Arial"/>
                <w:color w:val="000000"/>
                <w:sz w:val="21"/>
                <w:szCs w:val="21"/>
              </w:rPr>
              <w:t xml:space="preserve">Spinnen hebben altijd een even aantal ogen. Deze zijn in paren gelegen waarbij het ene paar beter is ontwikkeld dan het ander. Jagende spinnen hebben ten minste één paar dat goed ontwikkeld is zodat ze goed diepte en kleuren kunnen zien. Fotograaf: </w:t>
            </w:r>
            <w:hyperlink r:id="rId4" w:tgtFrame="_blank" w:history="1">
              <w:proofErr w:type="spellStart"/>
              <w:r>
                <w:rPr>
                  <w:rStyle w:val="Hyperlink"/>
                  <w:rFonts w:ascii="Arial" w:hAnsi="Arial"/>
                  <w:sz w:val="21"/>
                  <w:szCs w:val="21"/>
                </w:rPr>
                <w:t>ikjelle</w:t>
              </w:r>
              <w:proofErr w:type="spellEnd"/>
            </w:hyperlink>
            <w:r>
              <w:rPr>
                <w:rFonts w:ascii="Arial" w:eastAsia="Times New Roman" w:hAnsi="Arial" w:cs="Arial"/>
                <w:color w:val="000000"/>
                <w:sz w:val="21"/>
                <w:szCs w:val="21"/>
              </w:rPr>
              <w:t>.</w:t>
            </w:r>
          </w:p>
        </w:tc>
      </w:tr>
    </w:tbl>
    <w:p w:rsidR="00340B08" w:rsidRDefault="004351C9">
      <w:bookmarkStart w:id="0" w:name="_GoBack"/>
      <w:r>
        <w:rPr>
          <w:noProof/>
        </w:rPr>
        <w:drawing>
          <wp:inline distT="0" distB="0" distL="0" distR="0">
            <wp:extent cx="6400800" cy="3961384"/>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nenog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2066" cy="3968356"/>
                    </a:xfrm>
                    <a:prstGeom prst="rect">
                      <a:avLst/>
                    </a:prstGeom>
                  </pic:spPr>
                </pic:pic>
              </a:graphicData>
            </a:graphic>
          </wp:inline>
        </w:drawing>
      </w:r>
      <w:bookmarkEnd w:id="0"/>
    </w:p>
    <w:sectPr w:rsidR="00340B08" w:rsidSect="00EE551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C9"/>
    <w:rsid w:val="00184532"/>
    <w:rsid w:val="00240A85"/>
    <w:rsid w:val="00340B08"/>
    <w:rsid w:val="003C5E95"/>
    <w:rsid w:val="004351C9"/>
    <w:rsid w:val="00950AA9"/>
    <w:rsid w:val="00C711F2"/>
    <w:rsid w:val="00EE5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FCB6B-531C-46EC-A3B4-F7860D8F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51C9"/>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autoRedefine/>
    <w:uiPriority w:val="9"/>
    <w:qFormat/>
    <w:rsid w:val="003C5E95"/>
    <w:pPr>
      <w:keepNext/>
      <w:keepLines/>
      <w:spacing w:before="240"/>
      <w:outlineLvl w:val="0"/>
    </w:pPr>
    <w:rPr>
      <w:rFonts w:asciiTheme="majorHAnsi" w:eastAsiaTheme="majorEastAsia" w:hAnsiTheme="majorHAnsi" w:cstheme="majorBidi"/>
      <w:b/>
      <w:color w:val="2E74B5" w:themeColor="accent1" w:themeShade="BF"/>
      <w:szCs w:val="32"/>
    </w:rPr>
  </w:style>
  <w:style w:type="paragraph" w:styleId="Kop2">
    <w:name w:val="heading 2"/>
    <w:basedOn w:val="Standaard"/>
    <w:next w:val="Standaard"/>
    <w:link w:val="Kop2Char"/>
    <w:autoRedefine/>
    <w:qFormat/>
    <w:rsid w:val="00184532"/>
    <w:pPr>
      <w:keepNext/>
      <w:spacing w:before="240" w:after="60"/>
      <w:outlineLvl w:val="1"/>
    </w:pPr>
    <w:rPr>
      <w:rFonts w:ascii="Verdana" w:eastAsia="Times New Roman" w:hAnsi="Verdana" w:cs="Arial"/>
      <w:b/>
      <w:bCs/>
      <w:i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84532"/>
    <w:rPr>
      <w:rFonts w:ascii="Verdana" w:eastAsia="Times New Roman" w:hAnsi="Verdana" w:cs="Arial"/>
      <w:b/>
      <w:bCs/>
      <w:iCs/>
      <w:sz w:val="24"/>
      <w:szCs w:val="28"/>
      <w:lang w:eastAsia="nl-NL"/>
    </w:rPr>
  </w:style>
  <w:style w:type="character" w:customStyle="1" w:styleId="Kop1Char">
    <w:name w:val="Kop 1 Char"/>
    <w:basedOn w:val="Standaardalinea-lettertype"/>
    <w:link w:val="Kop1"/>
    <w:uiPriority w:val="9"/>
    <w:rsid w:val="003C5E95"/>
    <w:rPr>
      <w:rFonts w:asciiTheme="majorHAnsi" w:eastAsiaTheme="majorEastAsia" w:hAnsiTheme="majorHAnsi" w:cstheme="majorBidi"/>
      <w:b/>
      <w:color w:val="2E74B5" w:themeColor="accent1" w:themeShade="BF"/>
      <w:sz w:val="24"/>
      <w:szCs w:val="32"/>
      <w:lang w:eastAsia="nl-NL"/>
    </w:rPr>
  </w:style>
  <w:style w:type="character" w:styleId="Hyperlink">
    <w:name w:val="Hyperlink"/>
    <w:basedOn w:val="Standaardalinea-lettertype"/>
    <w:uiPriority w:val="99"/>
    <w:semiHidden/>
    <w:unhideWhenUsed/>
    <w:rsid w:val="00435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vara.dmd.omroep.nl/x/c/?Hc1BDsIgEEDR27grZRykVEPcuvICxjSIFJpQaYCinr62rv7mJV9LwGWUe0bXRol8jZeMUhSLky7n6VjXJQZjTQnW_ESKioq8fH0dzPxO2VR9yKFKhDWMUOLy6M87NU6n.Ok2WopV3pv47aYBbnOKd4kHzoX4I31RyUkEAKY061tkD0DeAMMWBFAKAh.aLE_5TWxUqv8BA7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Maessen</dc:creator>
  <cp:keywords/>
  <dc:description/>
  <cp:lastModifiedBy>Thijs Maessen</cp:lastModifiedBy>
  <cp:revision>1</cp:revision>
  <dcterms:created xsi:type="dcterms:W3CDTF">2016-03-04T14:09:00Z</dcterms:created>
  <dcterms:modified xsi:type="dcterms:W3CDTF">2016-03-04T14:10:00Z</dcterms:modified>
</cp:coreProperties>
</file>